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69 vom 20. Februar 2024</w:t>
      </w:r>
    </w:p>
    <w:p>
      <w:r>
        <w:t>VS Kantonsgericht, 2024-02-20, FR</w:t>
      </w:r>
    </w:p>
    <w:p>
      <w:r>
        <w:rPr>
          <w:b/>
        </w:rPr>
        <w:t xml:space="preserve">Quelle: </w:t>
      </w:r>
      <w:r>
        <w:t>https://mcp.opencaselaw.ch/entscheid/vs_gerichte_S2 22 69</w:t>
      </w:r>
    </w:p>
    <w:p>
      <w:r>
        <w:t>FR: VS_GERICHTE S2 22 69 du 20 février 2024</w:t>
      </w:r>
    </w:p>
    <w:p>
      <w:r>
        <w:t>IT: VS_GERICHTE S2 22 69 del 20 febbraio 2024</w:t>
      </w:r>
    </w:p>
    <w:p>
      <w:pPr>
        <w:pStyle w:val="Heading2"/>
      </w:pPr>
      <w:r>
        <w:t>Regeste</w:t>
      </w:r>
    </w:p>
    <w:p>
      <w:r>
        <w:t>S2 22 69 ARRÊT DU 20 FÉVRIER 2024 Tribunal cantonal du Valais Cour des assurances sociales Composition : Candido Prada, président ; Frédéric Fellay et Christophe Joris, juges ; Simon Hausammann, greffier en la cause X _________, recourant, représenté par Maître Flore Primault, avocate, Lausanne contre CAISSE NATIONALE SUISSE D'ASSURANCE EN CAS D'ACCIDENTS (CNA), intimée, représentée par Maître Didier Elsig, avocat, Lausanne (art. 6 et 36 LAA ; lien de causalité)</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8 septembre 2022, le présent recours contre la décision sur opposition du 22 juillet précédent a été interjeté dans le délai légal de trente jours, prolongé des féries estivales (art. 38 al. 4 et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l’existence d’un lien de causalité entre les troubles présentés par le recourant et l’accident du 4 mai 2021.</w:t>
      </w:r>
    </w:p>
    <w:p>
      <w:r>
        <w:rPr>
          <w:b/>
        </w:rPr>
        <w:t>E. 2.1</w:t>
      </w:r>
    </w:p>
    <w:p>
      <w:r>
        <w:t>Dans leurs écritures, les parties invoquent contradictoirement l’application de l’article 6 LAA, le recourant demandant que l’alinéa 2 lui soit appliqué et l’intimée répondant que seul l’alinéa 1 est applicable en l’espèce.</w:t>
      </w:r>
    </w:p>
    <w:p>
      <w:r>
        <w:t>- 6 - 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l'article 4 LPGA et que l'assuré souffrait d'une lésion corporelle au sens de l'article 6 alinéa 2 LAA. Il a admis que dans cette hypothèse, l'assureur-accidents devait prendre en charge les suites de la lésion en cause sur la base de l'article 6 alinéa 1 LAA. En revanche, en l'absence d'un accident au sens juridique, le cas devait être examiné sous l'angle de l'article 6 alinéa 2 LAA (ATF 146 V 51 consid. 9.1 ; arrêts 8C_691/2022 du 23 juin 2023 consid. 3.2, 8C_520/2020 du 3 mai 2021 consid. 5 et 8C_412/2019 du 9 juillet 2020 consid. 5.2). En l’occurrence, il n’est pas litigieux que l’évènement du 4 mai 2021 doit être considéré comme un accident au sens de l’article 4 LPGA. Il s’impose dès lors d’examiner exclusivement sous l’angle de l’article 6 alinéa 1 LAA si la CNA doit prendre en charge les suites de la lésion à l’épaule gauche du recourant.</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 accidents obligatoire, en cas d'atteinte à la santé physique, la causalité adéquate se</w:t>
      </w:r>
    </w:p>
    <w:p>
      <w:r>
        <w:t>- 7 -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w:t>
      </w:r>
    </w:p>
    <w:p>
      <w:r>
        <w:t>- 8 -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Savoir si l'événement assuré et l'atteinte en question sont liés par un rapport de causalité naturelle est une question de fait que l'administration, ou le cas échéant le juge, examine en se fondant essentiellement sur des renseignements d'ordre médical (ATF 142 V 435 consid. 1 et les références citées). Selon la jurisprudence,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p. 469 et les références citées).</w:t>
      </w:r>
    </w:p>
    <w:p>
      <w:r>
        <w:rPr>
          <w:b/>
        </w:rPr>
        <w:t>E. 3</w:t>
      </w:r>
    </w:p>
    <w:p>
      <w:r>
        <w:t>Dans le cas d’espèce, il convient d’examiner si la CNA pouvait légalement mettre un terme à ses prestations au 11 novembre 2021.</w:t>
      </w:r>
    </w:p>
    <w:p>
      <w:r>
        <w:rPr>
          <w:b/>
        </w:rPr>
        <w:t>E. 3.1</w:t>
      </w:r>
    </w:p>
    <w:p>
      <w:r>
        <w:t>Dans un premier temps, le déroulement de l’incident du 4 mai 2021 est litigieux. Au stade du recours, le recourant a repris le rapport du 12 mai 2022 du Dr D _________ indiquant qu’il était tombé « de sa hauteur avec réception sur son membre supérieur gauche en extension » (pièce 64). Le fait qu’il soit tombé avec son bras en extension ne figurant pas dans ses précédentes déclarations ni dans le descriptif des différents médecins l’ayant examiné, l’intéressé soutient qu’il avait simplement omis d’apporter cette précision. Cela apparaît cependant peu vraisemblable qu’il ait omis de décrire un tel élément essentiel dans le déroulement de sa chute lors de ses différentes</w:t>
      </w:r>
    </w:p>
    <w:p>
      <w:r>
        <w:t>- 9 - consultations médicales. En outre, au vu du degré de précision avec lequel il a décrit le déroulement des faits lors de son entretien téléphonique avec la CNA le 10 décembre 2021, il ne fait guère doute qu’il n’aurait pas manqué de préciser qu’il serait tombé avec le bras en extension. Or, au contraire, il ressort du compte-rendu de cet entretien téléphonique qu’il n’avait justement pas eu le temps de se retenir en raison de la vitesse de sa chute (pièce 30). Cela étant, ce n’est qu’après avoir pris connaissance de la décision du 21 mars 2021 refusant des prestations à son patient, que le Dr D _________ a apporté cette nouvelle version. Peu crédible, elle est visiblement le produit de réflexions assécurologiques ultérieures à la décision en question et ne saurait par conséquent être décisive dans la présente cause (ATF 143 V 168 consid. 5.2.2 et 121 V 45 consid. 2a ; arrêt U 64/02 du 26 février 2004 consid. 2.2.3). Il convient par conséquent de s’en tenir à la première version des faits ressortant du dossier, à savoir une chute du recourant directement sur son épaule gauche. Retenu comme tel et sans que cela ne soit déjà déterminant à lui-seul pour trancher le litige, la Dresse F _________ a expliqué d’une manière fondée que ce mécanisme accidentel ne pouvait pas être de nature à entraîner des lésions sur trois tendons de la coiffe des rotateurs (cf. avis du 21 mars 2022 ; pièce 46).</w:t>
      </w:r>
    </w:p>
    <w:p>
      <w:r>
        <w:rPr>
          <w:b/>
        </w:rPr>
        <w:t>E. 3.2</w:t>
      </w:r>
    </w:p>
    <w:p>
      <w:r>
        <w:t>L’intimée a choisi de régler le cas d’assurance du recourant en se basant uniquement sur l’avis de son médecin-conseil et sans recourir à une expertise externe au sens de l’article 44 LPGA. Il s’agit ainsi d’examiner si l’appréciation de la Dresse F _________ était suffisamment probante pour rendre une décision sur la cause.</w:t>
      </w:r>
    </w:p>
    <w:p>
      <w:r>
        <w:rPr>
          <w:b/>
        </w:rPr>
        <w:t>E. 3.2.1</w:t>
      </w:r>
    </w:p>
    <w:p>
      <w:r>
        <w:t>Pour établir son appréciation, le médecin d’arrondissement a repris le rapport initial du médecin ayant effectué les premiers soins et la première radiographie, lequel avait observé une contusion, l’absence d’hématome, de tuméfaction ou encore de fracture (cf. rapport du 23 novembre 2021 de la Dresse B _________ ; pièce 26). Elle a dès lors noté qu’il n’existait pas de lésion structurelle, que la douleur s’était accentuée progressivement et que l’intéressé parvenait encore à mobiliser son épaule gauche. La Dresse F _________ a également mis en avant des lésions dégénératives révélées par la radiographie (excès de couverture acromiale de la tête humérale pouvant favoriser un conflit sous-acromial) et l’arthro-IRM du 29 septembre 2021 (tendinopathie insertionnelles distales avec une déchirure transfixiante distale et une désinsertion partielle). Elle a ensuite rappelé que le recourant avait été en mesure de terminer son match de football après sa chute, qu’il s’était rendu à son travail l’après-midi même, puis qu’il avait repris son emploi à temps plein depuis le 28 juin 2021, si bien qu’il ne présentait pas la souffrance et l’impotence fonctionnelle caractéristiques d’une lésion</w:t>
      </w:r>
    </w:p>
    <w:p>
      <w:r>
        <w:t>- 10 - traumatique d’un tendon de la coiffe des rotateurs (cf. avis du 21 mars 2022 ; pièce 46). Selon la littérature médicale citée par la Dresse F _________, de telles lésions auraient en effet dû entraîner une symptomatologie aiguë avec d'emblée une impotence fonctionnelle majeure et au maximum un tableau d'épaule pseudo-paralytique (arrêt 8C_108/2020 du 22 décembre 2020 consid. 4.4.3), ce qui n’était en l’occurrence pas le cas. Enfin, lors de son appréciation médicale du 21 juillet 2022, le médecin d’arrondissement a pris en compte l’avis du Dr D _________ et a encore examiné le cas sous l’angle d’une grille d’évaluation médicale dont plusieurs indicateurs allaient dans le sens d’une atteinte dégénérative (pièce 66). En procédant de la sorte, la Dresse F _________ a examiné d’une manière complète et circonstanciée le cas, en se basant sur les différentes pièces médicales au dossier puis en fournissant une explication convaincante exempte de toute incohérence en justifiant les raisons pour lesquelles elle écartait le diagnostic de son confrère. Elle n’était en outre pas tenue d’effectuer un examen personnel de l’assuré, dès lors qu’elle disposait d’un dossier médical et radiologique complet et qu'il lui revenait uniquement d'apprécier le rapport de causalité naturelle entre les atteintes à l'épaule gauche et l'accident du 4 mai 2021 (arrêts 8C_108/2020 précité consid. 4.4.1 et 8C_650/2019 du 7 septembre 2020 consid. 4.3.2). Dans la même mesure, les faits étant essentiellement établis, il n’y a à présent pas lieu pour la Cour de céans d’ordonner la mise en œuvre d’une expertise judiciaire (appréciation anticipée des moyens de preuve : ATF 145 I 167 consid. 4.1, 144 II 427 consid. 3.1.3 et 141 I 60 consid. 3.3). Au demeurant, les critiques relatives à l’absence de spécialisation FMH de la Dresse F _________ ne sont pas pertinentes. Selon la jurisprudence, les médecins d’arrondissement ainsi que les spécialistes du centre de compétence de la médecine des assurances de la CNA sont en effet considérés, de par leur fonction et leur position professionnelle, comme étant des spécialistes en matière de traumatologie, indépendamment de leur spécialisation médicale (arrêts 8C_355/2022 du 2 novembre 2022 consid. 7.2, 8C_59/2020 du 14 avril 2020 consid. 5.2 et 8C_316/2019 consid. 5.4 du 24 octobre 2019 et les arrêts cités).</w:t>
      </w:r>
    </w:p>
    <w:p>
      <w:r>
        <w:rPr>
          <w:b/>
        </w:rPr>
        <w:t>E. 3.2.2</w:t>
      </w:r>
    </w:p>
    <w:p>
      <w:r>
        <w:t>Le recourant se prévaut de l’avis du Dr D _________, lequel a estimé que les caractéristiques de la lésion tendineuse étaient compatibles avec le traumatisme (une seule lésion du tendon supra-épineux gauche se terminant dans la partie haute des tendons infra-épineux et sous-scapulaire), ajoutant que sa taille réduite n’avait pas provoqué d’impotence fonctionnelle complète et qu’il n’existait pas d’atrophie musculaire ni de dégénérescence graisseuse (cf. rapport du 12 mai 2022 ; pièce 64).</w:t>
      </w:r>
    </w:p>
    <w:p>
      <w:r>
        <w:t>- 11 - Reprenant cela dans son évaluation médicale du 21 juillet 2022, la Dresse F _________ a expliqué d’une manière étayée les raisons pour lesquelles l’avis de ce médecin ne pouvait pas être suivi. Pour ce faire, elle a relevé que l’analyse des différents indicateurs (selon la grille d’évaluation, in : Infoméd/Medinfo N. 2021/1) permettant d’évaluer l’origine d’une atteinte montrait une origine dégénérative, notamment en raison du mécanisme de la chute avec réception directe sur l’épaule gauche, de l’absence de lésion à l’arthro-IRM, de l’âge de l’assuré (41 ans lors de sa chute), ainsi que du caractère crescendo des douleurs et des inaptitudes. Comme relevé justement par le médecin d’arrondissement, l’analyse du Dr D _________ se basait en outre sur un état de fait inexact, ce dernier partant de la prémisse erronée que son patient avait subi un mouvement de torsion forcée en essayant de se retenir avec son bras gauche lors de sa chute. On ajoutera qu’une consultation auprès de ce chirurgien n’a été nécessaire que le 14 septembre 2021, soit plus de quatre mois après l’évènement accidentel, et que lors de celle-ci une mobilisation complète et symétrique avait été observée auprès d’un assuré qui avait pu reprendre son activité professionnelle et présentait simplement des douleurs et une difficulté à l’élévation de son membre supérieur gauche (cf. rapport du 16 septembre 2021 ; pièce 34). L’opération a en outre été effectuée le 15 novembre 2021, soit plus de cinq mois après l’accident, ce qui est également un critère allant à l’encontre d’un traumatisme (Infoméd/Medinfo N. 2021/1, p. 6). Du reste, le fait que la Dresse C _________ ait mentionné un « traumatisme » de l’épaule gauche (cf. pièce 11) ne permet pas encore d’affirmer qu’elle entendait se prononcer sur la causalité des troubles de son patient, ce terme étant fréquemment utilisé pour décrire une chronologie d'événements, c'est-à-dire qu'une atteinte est survenue après un traumatisme (arrêts 8C_108/2020 précité consid. 4.4.5 et 8C_650/2019 du 7 septembre 2020 consid. 4.3.3 et les arrêts cités).</w:t>
      </w:r>
    </w:p>
    <w:p>
      <w:r>
        <w:rPr>
          <w:b/>
        </w:rPr>
        <w:t>E. 3.3</w:t>
      </w:r>
    </w:p>
    <w:p>
      <w:r>
        <w:t>Au vu des éléments qui précèdent, la CNA pouvait valablement se baser sur l’avis du médecin d’arrondissement pour mettre un terme à ses prestations au 11 novembre 2021, la Dresse F _________ ayant estimé que le statu quo sin vel ante avait été atteint le 28 juin 2021 lorsque le recourant a repris son activité professionnelle à temps plein. Au-delà de cette date, l’intimée a rendu vraisemblable que les douleurs résiduelles du recourant n’était plus dans une relation de causalité naturelle avec son accident du</w:t>
      </w:r>
    </w:p>
    <w:p>
      <w:r>
        <w:rPr>
          <w:b/>
        </w:rPr>
        <w:t>E. 4</w:t>
      </w:r>
    </w:p>
    <w:p>
      <w:r>
        <w:t>La procédure étant gratuite, il n’est pas perçu de frais (art. 61 let. fbis LPGA ; la LAA ne contenant pas de disposition spéciale prévoyant la perception de frais judiciaires).</w:t>
      </w:r>
    </w:p>
    <w:p>
      <w:r>
        <w:rPr>
          <w:b/>
        </w:rPr>
        <w:t>E. 5</w:t>
      </w:r>
    </w:p>
    <w:p>
      <w:r>
        <w:t>Vu l’issue de la cause, il n’est pas alloué de dépens au recourant (art. 61 let. g LPGA a contrario), ni à l’intimée, laquelle agit comme autorité chargée de tâches de droit public (art. 91 al. 3 LPJA ; ATF 126 V 143 consid. 4).</w:t>
      </w:r>
    </w:p>
    <w:p>
      <w:r>
        <w:t>Prononce</w:t>
      </w:r>
    </w:p>
    <w:p>
      <w:r>
        <w:t>1. Le recours est rejeté. 2. Il n’est pas perçu de frais ni alloué de dépens.</w:t>
      </w:r>
    </w:p>
    <w:p>
      <w:r>
        <w:t>Sion, le 20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